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pStyle w:val="Heading1"/>
        <w:jc w:val="center"/>
        <w:rPr>
          <w:sz w:val="22"/>
          <w:szCs w:val="22"/>
          <w:u w:val="single"/>
        </w:rPr>
      </w:pPr>
      <w:r w:rsidDel="00000000" w:rsidR="00000000" w:rsidRPr="00000000">
        <w:rPr>
          <w:sz w:val="22"/>
          <w:szCs w:val="22"/>
          <w:u w:val="single"/>
          <w:rtl w:val="0"/>
        </w:rPr>
        <w:t xml:space="preserve">ANÁLISIS DE EMISIONES DE LA FUENTE</w:t>
      </w:r>
    </w:p>
    <w:p w:rsidR="00000000" w:rsidDel="00000000" w:rsidP="00000000" w:rsidRDefault="00000000" w:rsidRPr="00000000" w14:paraId="00000003">
      <w:pPr>
        <w:rPr/>
      </w:pPr>
      <w:r w:rsidDel="00000000" w:rsidR="00000000" w:rsidRPr="00000000">
        <w:rPr>
          <w:rtl w:val="0"/>
        </w:rPr>
        <w:t xml:space="preserve">El límite máximo de emisión de material particulado (MP) para fuentes estacionarias está definido en la tabla VI.1 del Plan de Prevención y Descontaminación Atmosférica para la Región Metropolitana de Santiago. Para las fuentes estacionarias del tipo "Procesos", se establece un límite máximo de concentración de MP de </w:t>
      </w:r>
      <w:r w:rsidDel="00000000" w:rsidR="00000000" w:rsidRPr="00000000">
        <w:rPr>
          <w:b w:val="1"/>
          <w:rtl w:val="0"/>
        </w:rPr>
        <w:t xml:space="preserve">20 mg/m</w:t>
      </w:r>
      <w:r w:rsidDel="00000000" w:rsidR="00000000" w:rsidRPr="00000000">
        <w:rPr>
          <w:b w:val="1"/>
          <w:vertAlign w:val="superscript"/>
          <w:rtl w:val="0"/>
        </w:rPr>
        <w:t xml:space="preserve">3</w:t>
      </w:r>
      <w:r w:rsidDel="00000000" w:rsidR="00000000" w:rsidRPr="00000000">
        <w:rPr>
          <w:b w:val="1"/>
          <w:rtl w:val="0"/>
        </w:rPr>
        <w:t xml:space="preserve">N</w:t>
      </w:r>
      <w:r w:rsidDel="00000000" w:rsidR="00000000" w:rsidRPr="00000000">
        <w:rPr>
          <w:rtl w:val="0"/>
        </w:rPr>
        <w:t xml:space="preserve">, lo cual aplica para la lavadora de piezas metálicas. Sin embargo, en el año 2023, se obtuvo una concentración de 38,1 mg/m</w:t>
      </w:r>
      <w:r w:rsidDel="00000000" w:rsidR="00000000" w:rsidRPr="00000000">
        <w:rPr>
          <w:vertAlign w:val="superscript"/>
          <w:rtl w:val="0"/>
        </w:rPr>
        <w:t xml:space="preserve">3</w:t>
      </w:r>
      <w:r w:rsidDel="00000000" w:rsidR="00000000" w:rsidRPr="00000000">
        <w:rPr>
          <w:rtl w:val="0"/>
        </w:rPr>
        <w:t xml:space="preserve">N. </w:t>
      </w:r>
    </w:p>
    <w:p w:rsidR="00000000" w:rsidDel="00000000" w:rsidP="00000000" w:rsidRDefault="00000000" w:rsidRPr="00000000" w14:paraId="00000004">
      <w:pPr>
        <w:rPr/>
      </w:pPr>
      <w:r w:rsidDel="00000000" w:rsidR="00000000" w:rsidRPr="00000000">
        <w:rPr>
          <w:rtl w:val="0"/>
        </w:rPr>
        <w:t xml:space="preserve">En base a esto, según la Tabla I-7: Inventario de Emisiones de Partículas y Gases por Sector (año base 2015), el sector industrial presenta emisiones de </w:t>
      </w:r>
      <w:r w:rsidDel="00000000" w:rsidR="00000000" w:rsidRPr="00000000">
        <w:rPr>
          <w:b w:val="1"/>
          <w:rtl w:val="0"/>
        </w:rPr>
        <w:t xml:space="preserve">911 toneladas anuales de MP10</w:t>
      </w:r>
      <w:r w:rsidDel="00000000" w:rsidR="00000000" w:rsidRPr="00000000">
        <w:rPr>
          <w:rtl w:val="0"/>
        </w:rPr>
        <w:t xml:space="preserve"> (Plan de Prevención y Descontaminación Atmosférica para la Región Metropolitana de Santiago)</w:t>
      </w:r>
    </w:p>
    <w:p w:rsidR="00000000" w:rsidDel="00000000" w:rsidP="00000000" w:rsidRDefault="00000000" w:rsidRPr="00000000" w14:paraId="00000005">
      <w:pPr>
        <w:rPr/>
      </w:pPr>
      <w:r w:rsidDel="00000000" w:rsidR="00000000" w:rsidRPr="00000000">
        <w:rPr>
          <w:rtl w:val="0"/>
        </w:rPr>
        <w:t xml:space="preserve">Considerando un escenario en el que el equipo opera durante toda la jornada laboral se calcularon las emisiones anuales. Para esto se consideró una operación de 40 horas semanales y 52 semanas al año, es decir, un total de 2.080 horas de funcionamiento anual. Se destaca que esta cifra es mayor que las horas efectivas de operación de la fuente, ya que representa la máxima cantidad de horas que potencialmente pudo haber estado en funcionamiento el equipo.</w:t>
      </w:r>
    </w:p>
    <w:p w:rsidR="00000000" w:rsidDel="00000000" w:rsidP="00000000" w:rsidRDefault="00000000" w:rsidRPr="00000000" w14:paraId="00000006">
      <w:pPr>
        <w:rPr/>
      </w:pPr>
      <w:r w:rsidDel="00000000" w:rsidR="00000000" w:rsidRPr="00000000">
        <w:rPr>
          <w:rtl w:val="0"/>
        </w:rPr>
        <w:t xml:space="preserve">A continuación, se detalla el método utilizado para calcular las emisiones anuales. Como ejemplo, se realiza el cálculo para el año con la mayor concentración de material particulado, que corresponde a 2023, obteniendo las siguientes emisiones anuales:</w:t>
      </w:r>
    </w:p>
    <w:p w:rsidR="00000000" w:rsidDel="00000000" w:rsidP="00000000" w:rsidRDefault="00000000" w:rsidRPr="00000000" w14:paraId="00000007">
      <w:pPr>
        <w:jc w:val="center"/>
        <w:rPr/>
      </w:pPr>
      <m:oMath>
        <m:r>
          <w:rPr/>
          <m:t xml:space="preserve">Emisiones al año</m:t>
        </m:r>
        <m:r>
          <w:rPr>
            <w:rFonts w:ascii="Cambria Math" w:cs="Cambria Math" w:eastAsia="Cambria Math" w:hAnsi="Cambria Math"/>
          </w:rPr>
          <m:t xml:space="preserve"> </m:t>
        </m:r>
        <m:d>
          <m:dPr>
            <m:begChr m:val="["/>
            <m:endChr m:val="]"/>
            <m:ctrlPr>
              <w:rPr>
                <w:rFonts w:ascii="Cambria Math" w:cs="Cambria Math" w:eastAsia="Cambria Math" w:hAnsi="Cambria Math"/>
              </w:rPr>
            </m:ctrlPr>
          </m:dPr>
          <m:e>
            <m:f>
              <m:fPr>
                <m:ctrlPr>
                  <w:rPr/>
                </m:ctrlPr>
              </m:fPr>
              <m:num>
                <m:r>
                  <w:rPr/>
                  <m:t xml:space="preserve">ton</m:t>
                </m:r>
              </m:num>
              <m:den>
                <m:r>
                  <w:rPr/>
                  <m:t xml:space="preserve">año</m:t>
                </m:r>
              </m:den>
            </m:f>
          </m:e>
        </m:d>
        <m:r>
          <w:rPr/>
          <m:t xml:space="preserve"> =</m:t>
        </m:r>
        <m:r>
          <w:rPr>
            <w:rFonts w:ascii="Cambria Math" w:cs="Cambria Math" w:eastAsia="Cambria Math" w:hAnsi="Cambria Math"/>
          </w:rPr>
          <m:t xml:space="preserve"> </m:t>
        </m:r>
        <m:f>
          <m:fPr>
            <m:ctrlPr>
              <w:rPr/>
            </m:ctrlPr>
          </m:fPr>
          <m:num>
            <m:r>
              <w:rPr/>
              <m:t xml:space="preserve">Emisión horaria</m:t>
            </m:r>
            <m:r>
              <w:rPr>
                <w:rFonts w:ascii="Cambria Math" w:cs="Cambria Math" w:eastAsia="Cambria Math" w:hAnsi="Cambria Math"/>
              </w:rPr>
              <m:t xml:space="preserve"> </m:t>
            </m:r>
            <m:d>
              <m:dPr>
                <m:begChr m:val="["/>
                <m:endChr m:val="]"/>
                <m:ctrlPr>
                  <w:rPr>
                    <w:rFonts w:ascii="Cambria Math" w:cs="Cambria Math" w:eastAsia="Cambria Math" w:hAnsi="Cambria Math"/>
                  </w:rPr>
                </m:ctrlPr>
              </m:dPr>
              <m:e>
                <m:f>
                  <m:fPr>
                    <m:ctrlPr>
                      <w:rPr/>
                    </m:ctrlPr>
                  </m:fPr>
                  <m:num>
                    <m:r>
                      <w:rPr/>
                      <m:t xml:space="preserve">kg</m:t>
                    </m:r>
                  </m:num>
                  <m:den>
                    <m:r>
                      <w:rPr/>
                      <m:t xml:space="preserve">hr</m:t>
                    </m:r>
                  </m:den>
                </m:f>
              </m:e>
            </m:d>
            <m:r>
              <w:rPr/>
              <m:t xml:space="preserve">*horas de uso</m:t>
            </m:r>
            <m:r>
              <w:rPr>
                <w:rFonts w:ascii="Cambria Math" w:cs="Cambria Math" w:eastAsia="Cambria Math" w:hAnsi="Cambria Math"/>
              </w:rPr>
              <m:t xml:space="preserve"> </m:t>
            </m:r>
            <m:d>
              <m:dPr>
                <m:begChr m:val="["/>
                <m:endChr m:val="]"/>
                <m:ctrlPr>
                  <w:rPr>
                    <w:rFonts w:ascii="Cambria Math" w:cs="Cambria Math" w:eastAsia="Cambria Math" w:hAnsi="Cambria Math"/>
                  </w:rPr>
                </m:ctrlPr>
              </m:dPr>
              <m:e>
                <m:f>
                  <m:fPr>
                    <m:ctrlPr>
                      <w:rPr/>
                    </m:ctrlPr>
                  </m:fPr>
                  <m:num>
                    <m:r>
                      <w:rPr/>
                      <m:t xml:space="preserve">hr</m:t>
                    </m:r>
                  </m:num>
                  <m:den>
                    <m:r>
                      <w:rPr/>
                      <m:t xml:space="preserve">año</m:t>
                    </m:r>
                  </m:den>
                </m:f>
              </m:e>
            </m:d>
          </m:num>
          <m:den>
            <m:r>
              <w:rPr/>
              <m:t xml:space="preserve">1</m:t>
            </m:r>
            <m:r>
              <w:rPr>
                <w:rFonts w:ascii="Cambria Math" w:cs="Cambria Math" w:eastAsia="Cambria Math" w:hAnsi="Cambria Math"/>
              </w:rPr>
              <m:t xml:space="preserve">.</m:t>
            </m:r>
            <m:r>
              <w:rPr/>
              <m:t xml:space="preserve">000</m:t>
            </m:r>
          </m:den>
        </m:f>
      </m:oMath>
      <w:r w:rsidDel="00000000" w:rsidR="00000000" w:rsidRPr="00000000">
        <w:rPr>
          <w:rtl w:val="0"/>
        </w:rPr>
      </w:r>
    </w:p>
    <w:p w:rsidR="00000000" w:rsidDel="00000000" w:rsidP="00000000" w:rsidRDefault="00000000" w:rsidRPr="00000000" w14:paraId="00000008">
      <w:pPr>
        <w:jc w:val="center"/>
        <w:rPr/>
      </w:pPr>
      <m:oMath>
        <m:r>
          <w:rPr/>
          <m:t xml:space="preserve">Emisiones al año=</m:t>
        </m:r>
        <m:f>
          <m:fPr>
            <m:ctrlPr>
              <w:rPr/>
            </m:ctrlPr>
          </m:fPr>
          <m:num>
            <m:r>
              <w:rPr/>
              <m:t xml:space="preserve">0,008*2.080</m:t>
            </m:r>
          </m:num>
          <m:den>
            <m:r>
              <w:rPr/>
              <m:t xml:space="preserve">1.000</m:t>
            </m:r>
          </m:den>
        </m:f>
      </m:oMath>
      <w:r w:rsidDel="00000000" w:rsidR="00000000" w:rsidRPr="00000000">
        <w:rPr>
          <w:rtl w:val="0"/>
        </w:rPr>
      </w:r>
    </w:p>
    <w:p w:rsidR="00000000" w:rsidDel="00000000" w:rsidP="00000000" w:rsidRDefault="00000000" w:rsidRPr="00000000" w14:paraId="00000009">
      <w:pPr>
        <w:jc w:val="center"/>
        <w:rPr/>
      </w:pPr>
      <m:oMath>
        <m:r>
          <w:rPr/>
          <m:t xml:space="preserve">Emisiones=0,017</m:t>
        </m:r>
        <m:f>
          <m:fPr>
            <m:ctrlPr>
              <w:rPr/>
            </m:ctrlPr>
          </m:fPr>
          <m:num>
            <m:r>
              <w:rPr/>
              <m:t xml:space="preserve">ton</m:t>
            </m:r>
          </m:num>
          <m:den>
            <m:r>
              <w:rPr/>
              <m:t xml:space="preserve">año</m:t>
            </m:r>
          </m:den>
        </m:f>
        <m:r>
          <w:rPr/>
          <m:t xml:space="preserve"> </m:t>
        </m:r>
      </m:oMath>
      <w:r w:rsidDel="00000000" w:rsidR="00000000" w:rsidRPr="00000000">
        <w:rPr>
          <w:rtl w:val="0"/>
        </w:rPr>
      </w:r>
    </w:p>
    <w:p w:rsidR="00000000" w:rsidDel="00000000" w:rsidP="00000000" w:rsidRDefault="00000000" w:rsidRPr="00000000" w14:paraId="0000000A">
      <w:pPr>
        <w:rPr/>
      </w:pPr>
      <w:r w:rsidDel="00000000" w:rsidR="00000000" w:rsidRPr="00000000">
        <w:rPr>
          <w:rtl w:val="0"/>
        </w:rPr>
        <w:t xml:space="preserve">Al comparar estos resultados con la Tabla I-7, se observa que la emisión anual del equipo para el año 2023 representa un 0,002% de las emisiones de material particulado provenientes del sector industrial.</w:t>
      </w:r>
    </w:p>
    <w:tbl>
      <w:tblPr>
        <w:tblStyle w:val="Table1"/>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76"/>
        <w:gridCol w:w="1546"/>
        <w:gridCol w:w="1805"/>
        <w:gridCol w:w="1297"/>
        <w:gridCol w:w="1328"/>
        <w:gridCol w:w="1876"/>
        <w:tblGridChange w:id="0">
          <w:tblGrid>
            <w:gridCol w:w="976"/>
            <w:gridCol w:w="1546"/>
            <w:gridCol w:w="1805"/>
            <w:gridCol w:w="1297"/>
            <w:gridCol w:w="1328"/>
            <w:gridCol w:w="1876"/>
          </w:tblGrid>
        </w:tblGridChange>
      </w:tblGrid>
      <w:tr>
        <w:trPr>
          <w:cantSplit w:val="0"/>
          <w:trHeight w:val="1076" w:hRule="atLeast"/>
          <w:tblHeader w:val="0"/>
        </w:trPr>
        <w:tc>
          <w:tcPr>
            <w:shd w:fill="08697e" w:val="clear"/>
            <w:vAlign w:val="center"/>
          </w:tcPr>
          <w:p w:rsidR="00000000" w:rsidDel="00000000" w:rsidP="00000000" w:rsidRDefault="00000000" w:rsidRPr="00000000" w14:paraId="0000000B">
            <w:pPr>
              <w:spacing w:after="0" w:lineRule="auto"/>
              <w:jc w:val="center"/>
              <w:rPr>
                <w:b w:val="1"/>
                <w:color w:val="ffffff"/>
              </w:rPr>
            </w:pPr>
            <w:r w:rsidDel="00000000" w:rsidR="00000000" w:rsidRPr="00000000">
              <w:rPr>
                <w:b w:val="1"/>
                <w:color w:val="ffffff"/>
                <w:rtl w:val="0"/>
              </w:rPr>
              <w:t xml:space="preserve">Año</w:t>
            </w:r>
          </w:p>
        </w:tc>
        <w:tc>
          <w:tcPr>
            <w:shd w:fill="08697e" w:val="clear"/>
            <w:vAlign w:val="center"/>
          </w:tcPr>
          <w:p w:rsidR="00000000" w:rsidDel="00000000" w:rsidP="00000000" w:rsidRDefault="00000000" w:rsidRPr="00000000" w14:paraId="0000000C">
            <w:pPr>
              <w:spacing w:after="0" w:lineRule="auto"/>
              <w:jc w:val="center"/>
              <w:rPr>
                <w:b w:val="1"/>
                <w:color w:val="ffffff"/>
              </w:rPr>
            </w:pPr>
            <w:r w:rsidDel="00000000" w:rsidR="00000000" w:rsidRPr="00000000">
              <w:rPr>
                <w:b w:val="1"/>
                <w:color w:val="ffffff"/>
                <w:rtl w:val="0"/>
              </w:rPr>
              <w:t xml:space="preserve">Fecha de medición</w:t>
            </w:r>
          </w:p>
        </w:tc>
        <w:tc>
          <w:tcPr>
            <w:shd w:fill="08697e" w:val="clear"/>
            <w:vAlign w:val="center"/>
          </w:tcPr>
          <w:p w:rsidR="00000000" w:rsidDel="00000000" w:rsidP="00000000" w:rsidRDefault="00000000" w:rsidRPr="00000000" w14:paraId="0000000D">
            <w:pPr>
              <w:spacing w:after="0" w:lineRule="auto"/>
              <w:jc w:val="center"/>
              <w:rPr>
                <w:b w:val="1"/>
                <w:color w:val="ffffff"/>
              </w:rPr>
            </w:pPr>
            <w:r w:rsidDel="00000000" w:rsidR="00000000" w:rsidRPr="00000000">
              <w:rPr>
                <w:b w:val="1"/>
                <w:color w:val="ffffff"/>
                <w:rtl w:val="0"/>
              </w:rPr>
              <w:t xml:space="preserve">Concentración de material particulado promedio (mg/m</w:t>
            </w:r>
            <w:r w:rsidDel="00000000" w:rsidR="00000000" w:rsidRPr="00000000">
              <w:rPr>
                <w:b w:val="1"/>
                <w:color w:val="ffffff"/>
                <w:vertAlign w:val="superscript"/>
                <w:rtl w:val="0"/>
              </w:rPr>
              <w:t xml:space="preserve">3</w:t>
            </w:r>
            <w:r w:rsidDel="00000000" w:rsidR="00000000" w:rsidRPr="00000000">
              <w:rPr>
                <w:b w:val="1"/>
                <w:color w:val="ffffff"/>
                <w:rtl w:val="0"/>
              </w:rPr>
              <w:t xml:space="preserve">N)</w:t>
            </w:r>
          </w:p>
        </w:tc>
        <w:tc>
          <w:tcPr>
            <w:shd w:fill="08697e" w:val="clear"/>
            <w:vAlign w:val="center"/>
          </w:tcPr>
          <w:p w:rsidR="00000000" w:rsidDel="00000000" w:rsidP="00000000" w:rsidRDefault="00000000" w:rsidRPr="00000000" w14:paraId="0000000E">
            <w:pPr>
              <w:spacing w:after="0" w:lineRule="auto"/>
              <w:jc w:val="center"/>
              <w:rPr>
                <w:b w:val="1"/>
                <w:color w:val="ffffff"/>
              </w:rPr>
            </w:pPr>
            <w:r w:rsidDel="00000000" w:rsidR="00000000" w:rsidRPr="00000000">
              <w:rPr>
                <w:b w:val="1"/>
                <w:color w:val="ffffff"/>
                <w:rtl w:val="0"/>
              </w:rPr>
              <w:t xml:space="preserve">Emisión horaria (kg/hr)</w:t>
            </w:r>
          </w:p>
        </w:tc>
        <w:tc>
          <w:tcPr>
            <w:shd w:fill="08697e" w:val="clear"/>
            <w:vAlign w:val="center"/>
          </w:tcPr>
          <w:p w:rsidR="00000000" w:rsidDel="00000000" w:rsidP="00000000" w:rsidRDefault="00000000" w:rsidRPr="00000000" w14:paraId="0000000F">
            <w:pPr>
              <w:spacing w:after="0" w:lineRule="auto"/>
              <w:jc w:val="center"/>
              <w:rPr>
                <w:b w:val="1"/>
                <w:color w:val="ffffff"/>
              </w:rPr>
            </w:pPr>
            <w:r w:rsidDel="00000000" w:rsidR="00000000" w:rsidRPr="00000000">
              <w:rPr>
                <w:b w:val="1"/>
                <w:color w:val="ffffff"/>
                <w:rtl w:val="0"/>
              </w:rPr>
              <w:t xml:space="preserve">Emisiones anuales (ton/año)</w:t>
            </w:r>
          </w:p>
        </w:tc>
        <w:tc>
          <w:tcPr>
            <w:shd w:fill="08697e" w:val="clear"/>
            <w:vAlign w:val="center"/>
          </w:tcPr>
          <w:p w:rsidR="00000000" w:rsidDel="00000000" w:rsidP="00000000" w:rsidRDefault="00000000" w:rsidRPr="00000000" w14:paraId="00000010">
            <w:pPr>
              <w:spacing w:after="0" w:lineRule="auto"/>
              <w:jc w:val="center"/>
              <w:rPr>
                <w:b w:val="1"/>
                <w:color w:val="ffffff"/>
              </w:rPr>
            </w:pPr>
            <w:r w:rsidDel="00000000" w:rsidR="00000000" w:rsidRPr="00000000">
              <w:rPr>
                <w:b w:val="1"/>
                <w:color w:val="ffffff"/>
                <w:rtl w:val="0"/>
              </w:rPr>
              <w:t xml:space="preserve">Porcentaje con respecto al sector industria (%)</w:t>
            </w:r>
          </w:p>
        </w:tc>
      </w:tr>
      <w:tr>
        <w:trPr>
          <w:cantSplit w:val="0"/>
          <w:tblHeader w:val="0"/>
        </w:trPr>
        <w:tc>
          <w:tcPr>
            <w:vAlign w:val="center"/>
          </w:tcPr>
          <w:p w:rsidR="00000000" w:rsidDel="00000000" w:rsidP="00000000" w:rsidRDefault="00000000" w:rsidRPr="00000000" w14:paraId="00000011">
            <w:pPr>
              <w:spacing w:after="0" w:lineRule="auto"/>
              <w:jc w:val="center"/>
              <w:rPr/>
            </w:pPr>
            <w:r w:rsidDel="00000000" w:rsidR="00000000" w:rsidRPr="00000000">
              <w:rPr>
                <w:rtl w:val="0"/>
              </w:rPr>
              <w:t xml:space="preserve">2020</w:t>
            </w:r>
          </w:p>
        </w:tc>
        <w:tc>
          <w:tcPr>
            <w:vAlign w:val="center"/>
          </w:tcPr>
          <w:p w:rsidR="00000000" w:rsidDel="00000000" w:rsidP="00000000" w:rsidRDefault="00000000" w:rsidRPr="00000000" w14:paraId="00000012">
            <w:pPr>
              <w:spacing w:after="0" w:lineRule="auto"/>
              <w:jc w:val="center"/>
              <w:rPr/>
            </w:pPr>
            <w:r w:rsidDel="00000000" w:rsidR="00000000" w:rsidRPr="00000000">
              <w:rPr>
                <w:rtl w:val="0"/>
              </w:rPr>
              <w:t xml:space="preserve">24-03-2020</w:t>
            </w:r>
          </w:p>
        </w:tc>
        <w:tc>
          <w:tcPr>
            <w:vAlign w:val="center"/>
          </w:tcPr>
          <w:p w:rsidR="00000000" w:rsidDel="00000000" w:rsidP="00000000" w:rsidRDefault="00000000" w:rsidRPr="00000000" w14:paraId="00000013">
            <w:pPr>
              <w:spacing w:after="0" w:lineRule="auto"/>
              <w:jc w:val="center"/>
              <w:rPr/>
            </w:pPr>
            <w:r w:rsidDel="00000000" w:rsidR="00000000" w:rsidRPr="00000000">
              <w:rPr>
                <w:rtl w:val="0"/>
              </w:rPr>
              <w:t xml:space="preserve">3,09</w:t>
            </w:r>
          </w:p>
        </w:tc>
        <w:tc>
          <w:tcPr>
            <w:vAlign w:val="center"/>
          </w:tcPr>
          <w:p w:rsidR="00000000" w:rsidDel="00000000" w:rsidP="00000000" w:rsidRDefault="00000000" w:rsidRPr="00000000" w14:paraId="00000014">
            <w:pPr>
              <w:spacing w:after="0" w:lineRule="auto"/>
              <w:jc w:val="center"/>
              <w:rPr/>
            </w:pPr>
            <w:r w:rsidDel="00000000" w:rsidR="00000000" w:rsidRPr="00000000">
              <w:rPr>
                <w:rtl w:val="0"/>
              </w:rPr>
              <w:t xml:space="preserve">0,0007</w:t>
            </w:r>
          </w:p>
        </w:tc>
        <w:tc>
          <w:tcPr/>
          <w:p w:rsidR="00000000" w:rsidDel="00000000" w:rsidP="00000000" w:rsidRDefault="00000000" w:rsidRPr="00000000" w14:paraId="00000015">
            <w:pPr>
              <w:spacing w:after="0" w:lineRule="auto"/>
              <w:jc w:val="center"/>
              <w:rPr/>
            </w:pPr>
            <w:r w:rsidDel="00000000" w:rsidR="00000000" w:rsidRPr="00000000">
              <w:rPr>
                <w:rtl w:val="0"/>
              </w:rPr>
              <w:t xml:space="preserve">0,0015</w:t>
            </w:r>
          </w:p>
        </w:tc>
        <w:tc>
          <w:tcPr/>
          <w:p w:rsidR="00000000" w:rsidDel="00000000" w:rsidP="00000000" w:rsidRDefault="00000000" w:rsidRPr="00000000" w14:paraId="00000016">
            <w:pPr>
              <w:spacing w:after="0" w:lineRule="auto"/>
              <w:jc w:val="center"/>
              <w:rPr/>
            </w:pPr>
            <w:r w:rsidDel="00000000" w:rsidR="00000000" w:rsidRPr="00000000">
              <w:rPr>
                <w:rtl w:val="0"/>
              </w:rPr>
              <w:t xml:space="preserve">0,0002</w:t>
            </w:r>
          </w:p>
        </w:tc>
      </w:tr>
      <w:tr>
        <w:trPr>
          <w:cantSplit w:val="0"/>
          <w:tblHeader w:val="0"/>
        </w:trPr>
        <w:tc>
          <w:tcPr>
            <w:vAlign w:val="center"/>
          </w:tcPr>
          <w:p w:rsidR="00000000" w:rsidDel="00000000" w:rsidP="00000000" w:rsidRDefault="00000000" w:rsidRPr="00000000" w14:paraId="00000017">
            <w:pPr>
              <w:spacing w:after="0" w:lineRule="auto"/>
              <w:jc w:val="center"/>
              <w:rPr>
                <w:b w:val="1"/>
              </w:rPr>
            </w:pPr>
            <w:r w:rsidDel="00000000" w:rsidR="00000000" w:rsidRPr="00000000">
              <w:rPr>
                <w:b w:val="1"/>
                <w:rtl w:val="0"/>
              </w:rPr>
              <w:t xml:space="preserve">2023</w:t>
            </w:r>
          </w:p>
        </w:tc>
        <w:tc>
          <w:tcPr>
            <w:vAlign w:val="center"/>
          </w:tcPr>
          <w:p w:rsidR="00000000" w:rsidDel="00000000" w:rsidP="00000000" w:rsidRDefault="00000000" w:rsidRPr="00000000" w14:paraId="00000018">
            <w:pPr>
              <w:spacing w:after="0" w:lineRule="auto"/>
              <w:jc w:val="center"/>
              <w:rPr>
                <w:b w:val="1"/>
              </w:rPr>
            </w:pPr>
            <w:r w:rsidDel="00000000" w:rsidR="00000000" w:rsidRPr="00000000">
              <w:rPr>
                <w:b w:val="1"/>
                <w:rtl w:val="0"/>
              </w:rPr>
              <w:t xml:space="preserve">04-05-2023</w:t>
            </w:r>
          </w:p>
        </w:tc>
        <w:tc>
          <w:tcPr>
            <w:vAlign w:val="center"/>
          </w:tcPr>
          <w:p w:rsidR="00000000" w:rsidDel="00000000" w:rsidP="00000000" w:rsidRDefault="00000000" w:rsidRPr="00000000" w14:paraId="00000019">
            <w:pPr>
              <w:spacing w:after="0" w:lineRule="auto"/>
              <w:jc w:val="center"/>
              <w:rPr>
                <w:b w:val="1"/>
              </w:rPr>
            </w:pPr>
            <w:r w:rsidDel="00000000" w:rsidR="00000000" w:rsidRPr="00000000">
              <w:rPr>
                <w:b w:val="1"/>
                <w:rtl w:val="0"/>
              </w:rPr>
              <w:t xml:space="preserve">38,1</w:t>
            </w:r>
          </w:p>
        </w:tc>
        <w:tc>
          <w:tcPr>
            <w:vAlign w:val="center"/>
          </w:tcPr>
          <w:p w:rsidR="00000000" w:rsidDel="00000000" w:rsidP="00000000" w:rsidRDefault="00000000" w:rsidRPr="00000000" w14:paraId="0000001A">
            <w:pPr>
              <w:spacing w:after="0" w:lineRule="auto"/>
              <w:jc w:val="center"/>
              <w:rPr>
                <w:b w:val="1"/>
              </w:rPr>
            </w:pPr>
            <w:r w:rsidDel="00000000" w:rsidR="00000000" w:rsidRPr="00000000">
              <w:rPr>
                <w:b w:val="1"/>
                <w:rtl w:val="0"/>
              </w:rPr>
              <w:t xml:space="preserve">0,008</w:t>
            </w:r>
          </w:p>
        </w:tc>
        <w:tc>
          <w:tcPr/>
          <w:p w:rsidR="00000000" w:rsidDel="00000000" w:rsidP="00000000" w:rsidRDefault="00000000" w:rsidRPr="00000000" w14:paraId="0000001B">
            <w:pPr>
              <w:spacing w:after="0" w:lineRule="auto"/>
              <w:jc w:val="center"/>
              <w:rPr>
                <w:b w:val="1"/>
              </w:rPr>
            </w:pPr>
            <w:r w:rsidDel="00000000" w:rsidR="00000000" w:rsidRPr="00000000">
              <w:rPr>
                <w:b w:val="1"/>
                <w:rtl w:val="0"/>
              </w:rPr>
              <w:t xml:space="preserve">0,017</w:t>
            </w:r>
          </w:p>
        </w:tc>
        <w:tc>
          <w:tcPr/>
          <w:p w:rsidR="00000000" w:rsidDel="00000000" w:rsidP="00000000" w:rsidRDefault="00000000" w:rsidRPr="00000000" w14:paraId="0000001C">
            <w:pPr>
              <w:spacing w:after="0" w:lineRule="auto"/>
              <w:jc w:val="center"/>
              <w:rPr>
                <w:b w:val="1"/>
              </w:rPr>
            </w:pPr>
            <w:r w:rsidDel="00000000" w:rsidR="00000000" w:rsidRPr="00000000">
              <w:rPr>
                <w:b w:val="1"/>
                <w:rtl w:val="0"/>
              </w:rPr>
              <w:t xml:space="preserve">0,002</w:t>
            </w:r>
          </w:p>
        </w:tc>
      </w:tr>
      <w:tr>
        <w:trPr>
          <w:cantSplit w:val="0"/>
          <w:tblHeader w:val="0"/>
        </w:trPr>
        <w:tc>
          <w:tcPr>
            <w:vAlign w:val="center"/>
          </w:tcPr>
          <w:p w:rsidR="00000000" w:rsidDel="00000000" w:rsidP="00000000" w:rsidRDefault="00000000" w:rsidRPr="00000000" w14:paraId="0000001D">
            <w:pPr>
              <w:spacing w:after="0" w:lineRule="auto"/>
              <w:jc w:val="center"/>
              <w:rPr/>
            </w:pPr>
            <w:r w:rsidDel="00000000" w:rsidR="00000000" w:rsidRPr="00000000">
              <w:rPr>
                <w:rtl w:val="0"/>
              </w:rPr>
              <w:t xml:space="preserve">2024</w:t>
            </w:r>
          </w:p>
        </w:tc>
        <w:tc>
          <w:tcPr>
            <w:vAlign w:val="center"/>
          </w:tcPr>
          <w:p w:rsidR="00000000" w:rsidDel="00000000" w:rsidP="00000000" w:rsidRDefault="00000000" w:rsidRPr="00000000" w14:paraId="0000001E">
            <w:pPr>
              <w:spacing w:after="0" w:lineRule="auto"/>
              <w:jc w:val="center"/>
              <w:rPr/>
            </w:pPr>
            <w:r w:rsidDel="00000000" w:rsidR="00000000" w:rsidRPr="00000000">
              <w:rPr>
                <w:rtl w:val="0"/>
              </w:rPr>
              <w:t xml:space="preserve">13-06-2024</w:t>
            </w:r>
          </w:p>
        </w:tc>
        <w:tc>
          <w:tcPr>
            <w:vAlign w:val="center"/>
          </w:tcPr>
          <w:p w:rsidR="00000000" w:rsidDel="00000000" w:rsidP="00000000" w:rsidRDefault="00000000" w:rsidRPr="00000000" w14:paraId="0000001F">
            <w:pPr>
              <w:spacing w:after="0" w:lineRule="auto"/>
              <w:jc w:val="center"/>
              <w:rPr/>
            </w:pPr>
            <w:r w:rsidDel="00000000" w:rsidR="00000000" w:rsidRPr="00000000">
              <w:rPr>
                <w:rtl w:val="0"/>
              </w:rPr>
              <w:t xml:space="preserve">0,5</w:t>
            </w:r>
          </w:p>
        </w:tc>
        <w:tc>
          <w:tcPr>
            <w:vAlign w:val="center"/>
          </w:tcPr>
          <w:p w:rsidR="00000000" w:rsidDel="00000000" w:rsidP="00000000" w:rsidRDefault="00000000" w:rsidRPr="00000000" w14:paraId="00000020">
            <w:pPr>
              <w:spacing w:after="0" w:lineRule="auto"/>
              <w:jc w:val="center"/>
              <w:rPr/>
            </w:pPr>
            <w:r w:rsidDel="00000000" w:rsidR="00000000" w:rsidRPr="00000000">
              <w:rPr>
                <w:rtl w:val="0"/>
              </w:rPr>
              <w:t xml:space="preserve">0,0005</w:t>
            </w:r>
          </w:p>
        </w:tc>
        <w:tc>
          <w:tcPr/>
          <w:p w:rsidR="00000000" w:rsidDel="00000000" w:rsidP="00000000" w:rsidRDefault="00000000" w:rsidRPr="00000000" w14:paraId="00000021">
            <w:pPr>
              <w:spacing w:after="0" w:lineRule="auto"/>
              <w:jc w:val="center"/>
              <w:rPr/>
            </w:pPr>
            <w:r w:rsidDel="00000000" w:rsidR="00000000" w:rsidRPr="00000000">
              <w:rPr>
                <w:rtl w:val="0"/>
              </w:rPr>
              <w:t xml:space="preserve">0,0010</w:t>
            </w:r>
          </w:p>
        </w:tc>
        <w:tc>
          <w:tcPr/>
          <w:p w:rsidR="00000000" w:rsidDel="00000000" w:rsidP="00000000" w:rsidRDefault="00000000" w:rsidRPr="00000000" w14:paraId="00000022">
            <w:pPr>
              <w:spacing w:after="0" w:lineRule="auto"/>
              <w:jc w:val="center"/>
              <w:rPr/>
            </w:pPr>
            <w:r w:rsidDel="00000000" w:rsidR="00000000" w:rsidRPr="00000000">
              <w:rPr>
                <w:rtl w:val="0"/>
              </w:rPr>
              <w:t xml:space="preserve">0,00005</w:t>
            </w:r>
          </w:p>
        </w:tc>
      </w:tr>
    </w:tbl>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t xml:space="preserve">A pesar de que en un año específico se registró una emisión que superó el límite normativo (20 mg/m³N), es importante destacar que en los demás años evaluados no se excedió el límite establecido. Este comportamiento atípico parece ser una excepción a la tendencia general de cumplimiento observada tanto en los periodos anteriores como en los posteriores. Al calcular la emisión anual y compararla con el sector industrial, se observa que el valor para 2023 es del 0.002%, mientras que en los otros años es considerablemente menor, con un 0.0002% y 0.00005%, respectivamente. Por lo tanto, se puede considerar que esta situación es un caso aislado y no refleja el desempeño habitual en la gestión de emisiones de material particulado. Además, al comparar las emisiones anuales generadas por el equipo con el inventario de material particulado (MP), se observa que son insignificantes en comparación con las generadas por el sector industrial.</w:t>
      </w:r>
    </w:p>
    <w:p w:rsidR="00000000" w:rsidDel="00000000" w:rsidP="00000000" w:rsidRDefault="00000000" w:rsidRPr="00000000" w14:paraId="00000025">
      <w:pPr>
        <w:rPr/>
      </w:pPr>
      <w:r w:rsidDel="00000000" w:rsidR="00000000" w:rsidRPr="00000000">
        <w:rPr>
          <w:rtl w:val="0"/>
        </w:rPr>
      </w:r>
    </w:p>
    <w:sectPr>
      <w:headerReference r:id="rId7" w:type="default"/>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ptos"/>
  <w:font w:name="Play">
    <w:embedRegular w:fontKey="{00000000-0000-0000-0000-000000000000}" r:id="rId1" w:subsetted="0"/>
    <w:embedBold w:fontKey="{00000000-0000-0000-0000-000000000000}" r:id="rId2" w:subsetted="0"/>
  </w:font>
  <w:font w:name="Tahoma">
    <w:embedRegular w:fontKey="{00000000-0000-0000-0000-000000000000}" r:id="rId3" w:subsetted="0"/>
    <w:embedBold w:fontKey="{00000000-0000-0000-0000-000000000000}" r:id="rId4" w:subsetted="0"/>
  </w:font>
  <w:font w:name="Cambria Math">
    <w:embedRegular w:fontKey="{00000000-0000-0000-0000-000000000000}" r:id="rId5"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ANEXO 6. Programa de cumplimiento Finning Chile S.A.</w:t>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both"/>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Tahoma" w:cs="Tahoma" w:eastAsia="Tahoma" w:hAnsi="Tahoma"/>
        <w:sz w:val="22"/>
        <w:szCs w:val="22"/>
        <w:lang w:val="es-CL"/>
      </w:rPr>
    </w:rPrDefault>
    <w:pPrDefault>
      <w:pPr>
        <w:spacing w:after="120" w:line="360" w:lineRule="auto"/>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ind w:left="714" w:hanging="357"/>
    </w:pPr>
    <w:rPr>
      <w:b w:val="1"/>
      <w:sz w:val="24"/>
      <w:szCs w:val="24"/>
    </w:rPr>
  </w:style>
  <w:style w:type="paragraph" w:styleId="Heading2">
    <w:name w:val="heading 2"/>
    <w:basedOn w:val="Normal"/>
    <w:next w:val="Normal"/>
    <w:pPr>
      <w:keepNext w:val="1"/>
      <w:keepLines w:val="1"/>
      <w:spacing w:after="80" w:lineRule="auto"/>
      <w:ind w:left="432" w:hanging="432"/>
      <w:jc w:val="left"/>
    </w:pPr>
    <w:rPr>
      <w:b w:val="1"/>
      <w:sz w:val="24"/>
      <w:szCs w:val="24"/>
    </w:rPr>
  </w:style>
  <w:style w:type="paragraph" w:styleId="Heading3">
    <w:name w:val="heading 3"/>
    <w:basedOn w:val="Normal"/>
    <w:next w:val="Normal"/>
    <w:pPr>
      <w:keepNext w:val="1"/>
      <w:keepLines w:val="1"/>
      <w:spacing w:after="80" w:lineRule="auto"/>
      <w:ind w:left="504" w:hanging="504"/>
      <w:jc w:val="left"/>
    </w:pPr>
    <w:rPr>
      <w:b w:val="1"/>
      <w:sz w:val="24"/>
      <w:szCs w:val="24"/>
    </w:rPr>
  </w:style>
  <w:style w:type="paragraph" w:styleId="Heading4">
    <w:name w:val="heading 4"/>
    <w:basedOn w:val="Normal"/>
    <w:next w:val="Normal"/>
    <w:pPr>
      <w:keepNext w:val="1"/>
      <w:keepLines w:val="1"/>
      <w:spacing w:after="40" w:before="80" w:lineRule="auto"/>
    </w:pPr>
    <w:rPr>
      <w:rFonts w:ascii="Aptos" w:cs="Aptos" w:eastAsia="Aptos" w:hAnsi="Aptos"/>
      <w:i w:val="1"/>
      <w:color w:val="0f4761"/>
    </w:rPr>
  </w:style>
  <w:style w:type="paragraph" w:styleId="Heading5">
    <w:name w:val="heading 5"/>
    <w:basedOn w:val="Normal"/>
    <w:next w:val="Normal"/>
    <w:pPr>
      <w:keepNext w:val="1"/>
      <w:keepLines w:val="1"/>
      <w:spacing w:after="40" w:before="80" w:lineRule="auto"/>
    </w:pPr>
    <w:rPr>
      <w:rFonts w:ascii="Aptos" w:cs="Aptos" w:eastAsia="Aptos" w:hAnsi="Aptos"/>
      <w:color w:val="0f4761"/>
    </w:rPr>
  </w:style>
  <w:style w:type="paragraph" w:styleId="Heading6">
    <w:name w:val="heading 6"/>
    <w:basedOn w:val="Normal"/>
    <w:next w:val="Normal"/>
    <w:pPr>
      <w:keepNext w:val="1"/>
      <w:keepLines w:val="1"/>
      <w:spacing w:after="0" w:before="40" w:lineRule="auto"/>
    </w:pPr>
    <w:rPr>
      <w:rFonts w:ascii="Aptos" w:cs="Aptos" w:eastAsia="Aptos" w:hAnsi="Aptos"/>
      <w:i w:val="1"/>
      <w:color w:val="595959"/>
    </w:rPr>
  </w:style>
  <w:style w:type="paragraph" w:styleId="Title">
    <w:name w:val="Title"/>
    <w:basedOn w:val="Normal"/>
    <w:next w:val="Normal"/>
    <w:pPr>
      <w:spacing w:after="80" w:line="240" w:lineRule="auto"/>
    </w:pPr>
    <w:rPr>
      <w:rFonts w:ascii="Play" w:cs="Play" w:eastAsia="Play" w:hAnsi="Play"/>
      <w:sz w:val="56"/>
      <w:szCs w:val="56"/>
    </w:rPr>
  </w:style>
  <w:style w:type="paragraph" w:styleId="Normal" w:default="1">
    <w:name w:val="Normal"/>
    <w:aliases w:val="Texto"/>
    <w:qFormat w:val="1"/>
    <w:rsid w:val="00B8481A"/>
    <w:pPr>
      <w:spacing w:after="120" w:line="360" w:lineRule="auto"/>
      <w:jc w:val="both"/>
    </w:pPr>
    <w:rPr>
      <w:rFonts w:ascii="Tahoma" w:hAnsi="Tahoma"/>
      <w:kern w:val="0"/>
      <w:sz w:val="22"/>
    </w:rPr>
  </w:style>
  <w:style w:type="paragraph" w:styleId="Ttulo1">
    <w:name w:val="heading 1"/>
    <w:basedOn w:val="Normal"/>
    <w:next w:val="Normal"/>
    <w:link w:val="Ttulo1Car"/>
    <w:uiPriority w:val="9"/>
    <w:qFormat w:val="1"/>
    <w:rsid w:val="00B8481A"/>
    <w:pPr>
      <w:keepNext w:val="1"/>
      <w:keepLines w:val="1"/>
      <w:numPr>
        <w:numId w:val="7"/>
      </w:numPr>
      <w:ind w:left="714" w:hanging="357"/>
      <w:outlineLvl w:val="0"/>
    </w:pPr>
    <w:rPr>
      <w:rFonts w:cstheme="majorBidi" w:eastAsiaTheme="majorEastAsia"/>
      <w:b w:val="1"/>
      <w:kern w:val="2"/>
      <w:sz w:val="24"/>
      <w:szCs w:val="40"/>
    </w:rPr>
  </w:style>
  <w:style w:type="paragraph" w:styleId="Ttulo2">
    <w:name w:val="heading 2"/>
    <w:basedOn w:val="Ttulo1"/>
    <w:next w:val="Normal"/>
    <w:link w:val="Ttulo2Car"/>
    <w:uiPriority w:val="9"/>
    <w:unhideWhenUsed w:val="1"/>
    <w:qFormat w:val="1"/>
    <w:rsid w:val="00B8481A"/>
    <w:pPr>
      <w:numPr>
        <w:ilvl w:val="1"/>
        <w:numId w:val="5"/>
      </w:numPr>
      <w:spacing w:after="80"/>
      <w:jc w:val="left"/>
      <w:outlineLvl w:val="1"/>
    </w:pPr>
    <w:rPr>
      <w:szCs w:val="32"/>
    </w:rPr>
  </w:style>
  <w:style w:type="paragraph" w:styleId="Ttulo3">
    <w:name w:val="heading 3"/>
    <w:basedOn w:val="Normal"/>
    <w:next w:val="Normal"/>
    <w:link w:val="Ttulo3Car"/>
    <w:uiPriority w:val="9"/>
    <w:unhideWhenUsed w:val="1"/>
    <w:qFormat w:val="1"/>
    <w:rsid w:val="00B8481A"/>
    <w:pPr>
      <w:keepNext w:val="1"/>
      <w:keepLines w:val="1"/>
      <w:numPr>
        <w:ilvl w:val="2"/>
        <w:numId w:val="8"/>
      </w:numPr>
      <w:spacing w:after="80"/>
      <w:ind w:left="504" w:hanging="504"/>
      <w:jc w:val="left"/>
      <w:outlineLvl w:val="2"/>
    </w:pPr>
    <w:rPr>
      <w:rFonts w:cstheme="majorBidi" w:eastAsiaTheme="majorEastAsia"/>
      <w:b w:val="1"/>
      <w:kern w:val="2"/>
      <w:sz w:val="24"/>
      <w:szCs w:val="28"/>
    </w:rPr>
  </w:style>
  <w:style w:type="paragraph" w:styleId="Ttulo4">
    <w:name w:val="heading 4"/>
    <w:basedOn w:val="Normal"/>
    <w:next w:val="Normal"/>
    <w:link w:val="Ttulo4Car"/>
    <w:uiPriority w:val="9"/>
    <w:semiHidden w:val="1"/>
    <w:unhideWhenUsed w:val="1"/>
    <w:qFormat w:val="1"/>
    <w:rsid w:val="004F36EC"/>
    <w:pPr>
      <w:keepNext w:val="1"/>
      <w:keepLines w:val="1"/>
      <w:spacing w:after="40" w:before="80"/>
      <w:outlineLvl w:val="3"/>
    </w:pPr>
    <w:rPr>
      <w:rFonts w:asciiTheme="minorHAnsi" w:cstheme="majorBidi" w:eastAsiaTheme="majorEastAsia" w:hAnsiTheme="minorHAnsi"/>
      <w:i w:val="1"/>
      <w:iCs w:val="1"/>
      <w:color w:val="0f4761" w:themeColor="accent1" w:themeShade="0000BF"/>
    </w:rPr>
  </w:style>
  <w:style w:type="paragraph" w:styleId="Ttulo5">
    <w:name w:val="heading 5"/>
    <w:basedOn w:val="Normal"/>
    <w:next w:val="Normal"/>
    <w:link w:val="Ttulo5Car"/>
    <w:uiPriority w:val="9"/>
    <w:semiHidden w:val="1"/>
    <w:unhideWhenUsed w:val="1"/>
    <w:qFormat w:val="1"/>
    <w:rsid w:val="004F36EC"/>
    <w:pPr>
      <w:keepNext w:val="1"/>
      <w:keepLines w:val="1"/>
      <w:spacing w:after="40" w:before="80"/>
      <w:outlineLvl w:val="4"/>
    </w:pPr>
    <w:rPr>
      <w:rFonts w:asciiTheme="minorHAnsi" w:cstheme="majorBidi" w:eastAsiaTheme="majorEastAsia" w:hAnsiTheme="minorHAnsi"/>
      <w:color w:val="0f4761" w:themeColor="accent1" w:themeShade="0000BF"/>
    </w:rPr>
  </w:style>
  <w:style w:type="paragraph" w:styleId="Ttulo6">
    <w:name w:val="heading 6"/>
    <w:basedOn w:val="Normal"/>
    <w:next w:val="Normal"/>
    <w:link w:val="Ttulo6Car"/>
    <w:uiPriority w:val="9"/>
    <w:semiHidden w:val="1"/>
    <w:unhideWhenUsed w:val="1"/>
    <w:qFormat w:val="1"/>
    <w:rsid w:val="004F36EC"/>
    <w:pPr>
      <w:keepNext w:val="1"/>
      <w:keepLines w:val="1"/>
      <w:spacing w:after="0" w:before="40"/>
      <w:outlineLvl w:val="5"/>
    </w:pPr>
    <w:rPr>
      <w:rFonts w:asciiTheme="minorHAnsi" w:cstheme="majorBidi" w:eastAsiaTheme="majorEastAsia" w:hAnsiTheme="minorHAnsi"/>
      <w:i w:val="1"/>
      <w:iCs w:val="1"/>
      <w:color w:val="595959" w:themeColor="text1" w:themeTint="0000A6"/>
    </w:rPr>
  </w:style>
  <w:style w:type="paragraph" w:styleId="Ttulo7">
    <w:name w:val="heading 7"/>
    <w:basedOn w:val="Normal"/>
    <w:next w:val="Normal"/>
    <w:link w:val="Ttulo7Car"/>
    <w:uiPriority w:val="9"/>
    <w:semiHidden w:val="1"/>
    <w:unhideWhenUsed w:val="1"/>
    <w:qFormat w:val="1"/>
    <w:rsid w:val="004F36EC"/>
    <w:pPr>
      <w:keepNext w:val="1"/>
      <w:keepLines w:val="1"/>
      <w:spacing w:after="0" w:before="40"/>
      <w:outlineLvl w:val="6"/>
    </w:pPr>
    <w:rPr>
      <w:rFonts w:asciiTheme="minorHAnsi" w:cstheme="majorBidi" w:eastAsiaTheme="majorEastAsia" w:hAnsiTheme="minorHAnsi"/>
      <w:color w:val="595959" w:themeColor="text1" w:themeTint="0000A6"/>
    </w:rPr>
  </w:style>
  <w:style w:type="paragraph" w:styleId="Ttulo8">
    <w:name w:val="heading 8"/>
    <w:basedOn w:val="Normal"/>
    <w:next w:val="Normal"/>
    <w:link w:val="Ttulo8Car"/>
    <w:uiPriority w:val="9"/>
    <w:semiHidden w:val="1"/>
    <w:unhideWhenUsed w:val="1"/>
    <w:qFormat w:val="1"/>
    <w:rsid w:val="004F36EC"/>
    <w:pPr>
      <w:keepNext w:val="1"/>
      <w:keepLines w:val="1"/>
      <w:spacing w:after="0"/>
      <w:outlineLvl w:val="7"/>
    </w:pPr>
    <w:rPr>
      <w:rFonts w:asciiTheme="minorHAnsi" w:cstheme="majorBidi" w:eastAsiaTheme="majorEastAsia" w:hAnsiTheme="minorHAnsi"/>
      <w:i w:val="1"/>
      <w:iCs w:val="1"/>
      <w:color w:val="272727" w:themeColor="text1" w:themeTint="0000D8"/>
    </w:rPr>
  </w:style>
  <w:style w:type="paragraph" w:styleId="Ttulo9">
    <w:name w:val="heading 9"/>
    <w:basedOn w:val="Normal"/>
    <w:next w:val="Normal"/>
    <w:link w:val="Ttulo9Car"/>
    <w:uiPriority w:val="9"/>
    <w:semiHidden w:val="1"/>
    <w:unhideWhenUsed w:val="1"/>
    <w:qFormat w:val="1"/>
    <w:rsid w:val="004F36EC"/>
    <w:pPr>
      <w:keepNext w:val="1"/>
      <w:keepLines w:val="1"/>
      <w:spacing w:after="0"/>
      <w:outlineLvl w:val="8"/>
    </w:pPr>
    <w:rPr>
      <w:rFonts w:asciiTheme="minorHAnsi" w:cstheme="majorBidi" w:eastAsiaTheme="majorEastAsia" w:hAnsiTheme="minorHAnsi"/>
      <w:color w:val="272727" w:themeColor="text1" w:themeTint="0000D8"/>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character" w:styleId="Ttulo1Car" w:customStyle="1">
    <w:name w:val="Título 1 Car"/>
    <w:basedOn w:val="Fuentedeprrafopredeter"/>
    <w:link w:val="Ttulo1"/>
    <w:uiPriority w:val="9"/>
    <w:rsid w:val="00B8481A"/>
    <w:rPr>
      <w:rFonts w:ascii="Tahoma" w:hAnsi="Tahoma" w:cstheme="majorBidi" w:eastAsiaTheme="majorEastAsia"/>
      <w:b w:val="1"/>
      <w:szCs w:val="40"/>
    </w:rPr>
  </w:style>
  <w:style w:type="paragraph" w:styleId="Descripcin">
    <w:name w:val="caption"/>
    <w:basedOn w:val="Normal"/>
    <w:next w:val="Normal"/>
    <w:uiPriority w:val="35"/>
    <w:unhideWhenUsed w:val="1"/>
    <w:qFormat w:val="1"/>
    <w:rsid w:val="00B8481A"/>
    <w:pPr>
      <w:jc w:val="center"/>
    </w:pPr>
    <w:rPr>
      <w:b w:val="1"/>
      <w:iCs w:val="1"/>
      <w:szCs w:val="18"/>
    </w:rPr>
  </w:style>
  <w:style w:type="character" w:styleId="Ttulo2Car" w:customStyle="1">
    <w:name w:val="Título 2 Car"/>
    <w:basedOn w:val="Fuentedeprrafopredeter"/>
    <w:link w:val="Ttulo2"/>
    <w:uiPriority w:val="9"/>
    <w:rsid w:val="00B8481A"/>
    <w:rPr>
      <w:rFonts w:ascii="Tahoma" w:hAnsi="Tahoma" w:cstheme="majorBidi" w:eastAsiaTheme="majorEastAsia"/>
      <w:b w:val="1"/>
      <w:szCs w:val="32"/>
    </w:rPr>
  </w:style>
  <w:style w:type="paragraph" w:styleId="Cuerpo" w:customStyle="1">
    <w:name w:val="Cuerpo"/>
    <w:basedOn w:val="Normal"/>
    <w:link w:val="CuerpoCar"/>
    <w:qFormat w:val="1"/>
    <w:rsid w:val="00B8481A"/>
    <w:pPr>
      <w:widowControl w:val="0"/>
      <w:spacing w:after="240" w:before="120"/>
    </w:pPr>
    <w:rPr>
      <w:rFonts w:cs="Times New Roman" w:eastAsia="Calibri"/>
      <w:color w:val="000000"/>
      <w:lang w:val="es-ES_tradnl"/>
    </w:rPr>
  </w:style>
  <w:style w:type="character" w:styleId="CuerpoCar" w:customStyle="1">
    <w:name w:val="Cuerpo Car"/>
    <w:link w:val="Cuerpo"/>
    <w:rsid w:val="00B8481A"/>
    <w:rPr>
      <w:rFonts w:ascii="Tahoma" w:cs="Times New Roman" w:eastAsia="Calibri" w:hAnsi="Tahoma"/>
      <w:color w:val="000000"/>
      <w:kern w:val="0"/>
      <w:lang w:val="es-ES_tradnl"/>
    </w:rPr>
  </w:style>
  <w:style w:type="character" w:styleId="Ttulo3Car" w:customStyle="1">
    <w:name w:val="Título 3 Car"/>
    <w:basedOn w:val="Fuentedeprrafopredeter"/>
    <w:link w:val="Ttulo3"/>
    <w:uiPriority w:val="9"/>
    <w:rsid w:val="00B8481A"/>
    <w:rPr>
      <w:rFonts w:ascii="Tahoma" w:hAnsi="Tahoma" w:cstheme="majorBidi" w:eastAsiaTheme="majorEastAsia"/>
      <w:b w:val="1"/>
      <w:szCs w:val="28"/>
    </w:rPr>
  </w:style>
  <w:style w:type="character" w:styleId="Refdecomentario">
    <w:name w:val="annotation reference"/>
    <w:basedOn w:val="Fuentedeprrafopredeter"/>
    <w:unhideWhenUsed w:val="1"/>
    <w:qFormat w:val="1"/>
    <w:rsid w:val="003E4D8F"/>
    <w:rPr>
      <w:rFonts w:ascii="Tahoma" w:hAnsi="Tahoma"/>
      <w:sz w:val="16"/>
      <w:szCs w:val="16"/>
    </w:rPr>
  </w:style>
  <w:style w:type="character" w:styleId="Ttulo4Car" w:customStyle="1">
    <w:name w:val="Título 4 Car"/>
    <w:basedOn w:val="Fuentedeprrafopredeter"/>
    <w:link w:val="Ttulo4"/>
    <w:uiPriority w:val="9"/>
    <w:semiHidden w:val="1"/>
    <w:rsid w:val="004F36EC"/>
    <w:rPr>
      <w:rFonts w:cstheme="majorBidi" w:eastAsiaTheme="majorEastAsia"/>
      <w:i w:val="1"/>
      <w:iCs w:val="1"/>
      <w:color w:val="0f4761" w:themeColor="accent1" w:themeShade="0000BF"/>
      <w:kern w:val="0"/>
      <w:sz w:val="22"/>
    </w:rPr>
  </w:style>
  <w:style w:type="character" w:styleId="Ttulo5Car" w:customStyle="1">
    <w:name w:val="Título 5 Car"/>
    <w:basedOn w:val="Fuentedeprrafopredeter"/>
    <w:link w:val="Ttulo5"/>
    <w:uiPriority w:val="9"/>
    <w:semiHidden w:val="1"/>
    <w:rsid w:val="004F36EC"/>
    <w:rPr>
      <w:rFonts w:cstheme="majorBidi" w:eastAsiaTheme="majorEastAsia"/>
      <w:color w:val="0f4761" w:themeColor="accent1" w:themeShade="0000BF"/>
      <w:kern w:val="0"/>
      <w:sz w:val="22"/>
    </w:rPr>
  </w:style>
  <w:style w:type="character" w:styleId="Ttulo6Car" w:customStyle="1">
    <w:name w:val="Título 6 Car"/>
    <w:basedOn w:val="Fuentedeprrafopredeter"/>
    <w:link w:val="Ttulo6"/>
    <w:uiPriority w:val="9"/>
    <w:semiHidden w:val="1"/>
    <w:rsid w:val="004F36EC"/>
    <w:rPr>
      <w:rFonts w:cstheme="majorBidi" w:eastAsiaTheme="majorEastAsia"/>
      <w:i w:val="1"/>
      <w:iCs w:val="1"/>
      <w:color w:val="595959" w:themeColor="text1" w:themeTint="0000A6"/>
      <w:kern w:val="0"/>
      <w:sz w:val="22"/>
    </w:rPr>
  </w:style>
  <w:style w:type="character" w:styleId="Ttulo7Car" w:customStyle="1">
    <w:name w:val="Título 7 Car"/>
    <w:basedOn w:val="Fuentedeprrafopredeter"/>
    <w:link w:val="Ttulo7"/>
    <w:uiPriority w:val="9"/>
    <w:semiHidden w:val="1"/>
    <w:rsid w:val="004F36EC"/>
    <w:rPr>
      <w:rFonts w:cstheme="majorBidi" w:eastAsiaTheme="majorEastAsia"/>
      <w:color w:val="595959" w:themeColor="text1" w:themeTint="0000A6"/>
      <w:kern w:val="0"/>
      <w:sz w:val="22"/>
    </w:rPr>
  </w:style>
  <w:style w:type="character" w:styleId="Ttulo8Car" w:customStyle="1">
    <w:name w:val="Título 8 Car"/>
    <w:basedOn w:val="Fuentedeprrafopredeter"/>
    <w:link w:val="Ttulo8"/>
    <w:uiPriority w:val="9"/>
    <w:semiHidden w:val="1"/>
    <w:rsid w:val="004F36EC"/>
    <w:rPr>
      <w:rFonts w:cstheme="majorBidi" w:eastAsiaTheme="majorEastAsia"/>
      <w:i w:val="1"/>
      <w:iCs w:val="1"/>
      <w:color w:val="272727" w:themeColor="text1" w:themeTint="0000D8"/>
      <w:kern w:val="0"/>
      <w:sz w:val="22"/>
    </w:rPr>
  </w:style>
  <w:style w:type="character" w:styleId="Ttulo9Car" w:customStyle="1">
    <w:name w:val="Título 9 Car"/>
    <w:basedOn w:val="Fuentedeprrafopredeter"/>
    <w:link w:val="Ttulo9"/>
    <w:uiPriority w:val="9"/>
    <w:semiHidden w:val="1"/>
    <w:rsid w:val="004F36EC"/>
    <w:rPr>
      <w:rFonts w:cstheme="majorBidi" w:eastAsiaTheme="majorEastAsia"/>
      <w:color w:val="272727" w:themeColor="text1" w:themeTint="0000D8"/>
      <w:kern w:val="0"/>
      <w:sz w:val="22"/>
    </w:rPr>
  </w:style>
  <w:style w:type="paragraph" w:styleId="Ttulo">
    <w:name w:val="Title"/>
    <w:basedOn w:val="Normal"/>
    <w:next w:val="Normal"/>
    <w:link w:val="TtuloCar"/>
    <w:uiPriority w:val="10"/>
    <w:qFormat w:val="1"/>
    <w:rsid w:val="004F36EC"/>
    <w:pPr>
      <w:spacing w:after="80" w:line="240" w:lineRule="auto"/>
      <w:contextualSpacing w:val="1"/>
    </w:pPr>
    <w:rPr>
      <w:rFonts w:asciiTheme="majorHAnsi" w:cstheme="majorBidi" w:eastAsiaTheme="majorEastAsia" w:hAnsiTheme="majorHAnsi"/>
      <w:spacing w:val="-10"/>
      <w:kern w:val="28"/>
      <w:sz w:val="56"/>
      <w:szCs w:val="56"/>
    </w:rPr>
  </w:style>
  <w:style w:type="character" w:styleId="TtuloCar" w:customStyle="1">
    <w:name w:val="Título Car"/>
    <w:basedOn w:val="Fuentedeprrafopredeter"/>
    <w:link w:val="Ttulo"/>
    <w:uiPriority w:val="10"/>
    <w:rsid w:val="004F36EC"/>
    <w:rPr>
      <w:rFonts w:asciiTheme="majorHAnsi" w:cstheme="majorBidi" w:eastAsiaTheme="majorEastAsia" w:hAnsiTheme="majorHAnsi"/>
      <w:spacing w:val="-10"/>
      <w:kern w:val="28"/>
      <w:sz w:val="56"/>
      <w:szCs w:val="56"/>
    </w:rPr>
  </w:style>
  <w:style w:type="paragraph" w:styleId="Subttulo">
    <w:name w:val="Subtitle"/>
    <w:basedOn w:val="Normal"/>
    <w:next w:val="Normal"/>
    <w:link w:val="SubttuloCar"/>
    <w:uiPriority w:val="11"/>
    <w:qFormat w:val="1"/>
    <w:rsid w:val="004F36EC"/>
    <w:pPr>
      <w:numPr>
        <w:ilvl w:val="1"/>
      </w:numPr>
      <w:spacing w:after="160"/>
    </w:pPr>
    <w:rPr>
      <w:rFonts w:asciiTheme="minorHAnsi" w:cstheme="majorBidi" w:eastAsiaTheme="majorEastAsia" w:hAnsiTheme="minorHAnsi"/>
      <w:color w:val="595959" w:themeColor="text1" w:themeTint="0000A6"/>
      <w:spacing w:val="15"/>
      <w:sz w:val="28"/>
      <w:szCs w:val="28"/>
    </w:rPr>
  </w:style>
  <w:style w:type="character" w:styleId="SubttuloCar" w:customStyle="1">
    <w:name w:val="Subtítulo Car"/>
    <w:basedOn w:val="Fuentedeprrafopredeter"/>
    <w:link w:val="Subttulo"/>
    <w:uiPriority w:val="11"/>
    <w:rsid w:val="004F36EC"/>
    <w:rPr>
      <w:rFonts w:cstheme="majorBidi" w:eastAsiaTheme="majorEastAsia"/>
      <w:color w:val="595959" w:themeColor="text1" w:themeTint="0000A6"/>
      <w:spacing w:val="15"/>
      <w:kern w:val="0"/>
      <w:sz w:val="28"/>
      <w:szCs w:val="28"/>
    </w:rPr>
  </w:style>
  <w:style w:type="paragraph" w:styleId="Cita">
    <w:name w:val="Quote"/>
    <w:basedOn w:val="Normal"/>
    <w:next w:val="Normal"/>
    <w:link w:val="CitaCar"/>
    <w:uiPriority w:val="29"/>
    <w:qFormat w:val="1"/>
    <w:rsid w:val="004F36EC"/>
    <w:pPr>
      <w:spacing w:after="160" w:before="160"/>
      <w:jc w:val="center"/>
    </w:pPr>
    <w:rPr>
      <w:i w:val="1"/>
      <w:iCs w:val="1"/>
      <w:color w:val="404040" w:themeColor="text1" w:themeTint="0000BF"/>
    </w:rPr>
  </w:style>
  <w:style w:type="character" w:styleId="CitaCar" w:customStyle="1">
    <w:name w:val="Cita Car"/>
    <w:basedOn w:val="Fuentedeprrafopredeter"/>
    <w:link w:val="Cita"/>
    <w:uiPriority w:val="29"/>
    <w:rsid w:val="004F36EC"/>
    <w:rPr>
      <w:rFonts w:ascii="Tahoma" w:hAnsi="Tahoma"/>
      <w:i w:val="1"/>
      <w:iCs w:val="1"/>
      <w:color w:val="404040" w:themeColor="text1" w:themeTint="0000BF"/>
      <w:kern w:val="0"/>
      <w:sz w:val="22"/>
    </w:rPr>
  </w:style>
  <w:style w:type="paragraph" w:styleId="Prrafodelista">
    <w:name w:val="List Paragraph"/>
    <w:basedOn w:val="Normal"/>
    <w:uiPriority w:val="34"/>
    <w:qFormat w:val="1"/>
    <w:rsid w:val="004F36EC"/>
    <w:pPr>
      <w:ind w:left="720"/>
      <w:contextualSpacing w:val="1"/>
    </w:pPr>
  </w:style>
  <w:style w:type="character" w:styleId="nfasisintenso">
    <w:name w:val="Intense Emphasis"/>
    <w:basedOn w:val="Fuentedeprrafopredeter"/>
    <w:uiPriority w:val="21"/>
    <w:qFormat w:val="1"/>
    <w:rsid w:val="004F36EC"/>
    <w:rPr>
      <w:i w:val="1"/>
      <w:iCs w:val="1"/>
      <w:color w:val="0f4761" w:themeColor="accent1" w:themeShade="0000BF"/>
    </w:rPr>
  </w:style>
  <w:style w:type="paragraph" w:styleId="Citadestacada">
    <w:name w:val="Intense Quote"/>
    <w:basedOn w:val="Normal"/>
    <w:next w:val="Normal"/>
    <w:link w:val="CitadestacadaCar"/>
    <w:uiPriority w:val="30"/>
    <w:qFormat w:val="1"/>
    <w:rsid w:val="004F36EC"/>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CitadestacadaCar" w:customStyle="1">
    <w:name w:val="Cita destacada Car"/>
    <w:basedOn w:val="Fuentedeprrafopredeter"/>
    <w:link w:val="Citadestacada"/>
    <w:uiPriority w:val="30"/>
    <w:rsid w:val="004F36EC"/>
    <w:rPr>
      <w:rFonts w:ascii="Tahoma" w:hAnsi="Tahoma"/>
      <w:i w:val="1"/>
      <w:iCs w:val="1"/>
      <w:color w:val="0f4761" w:themeColor="accent1" w:themeShade="0000BF"/>
      <w:kern w:val="0"/>
      <w:sz w:val="22"/>
    </w:rPr>
  </w:style>
  <w:style w:type="character" w:styleId="Referenciaintensa">
    <w:name w:val="Intense Reference"/>
    <w:basedOn w:val="Fuentedeprrafopredeter"/>
    <w:uiPriority w:val="32"/>
    <w:qFormat w:val="1"/>
    <w:rsid w:val="004F36EC"/>
    <w:rPr>
      <w:b w:val="1"/>
      <w:bCs w:val="1"/>
      <w:smallCaps w:val="1"/>
      <w:color w:val="0f4761" w:themeColor="accent1" w:themeShade="0000BF"/>
      <w:spacing w:val="5"/>
    </w:rPr>
  </w:style>
  <w:style w:type="table" w:styleId="Tablaconcuadrcula">
    <w:name w:val="Table Grid"/>
    <w:basedOn w:val="Tablanormal"/>
    <w:uiPriority w:val="39"/>
    <w:rsid w:val="009E4427"/>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Textodelmarcadordeposicin">
    <w:name w:val="Placeholder Text"/>
    <w:basedOn w:val="Fuentedeprrafopredeter"/>
    <w:uiPriority w:val="99"/>
    <w:semiHidden w:val="1"/>
    <w:rsid w:val="00701B12"/>
    <w:rPr>
      <w:color w:val="666666"/>
    </w:rPr>
  </w:style>
  <w:style w:type="paragraph" w:styleId="Encabezado">
    <w:name w:val="header"/>
    <w:basedOn w:val="Normal"/>
    <w:link w:val="EncabezadoCar"/>
    <w:uiPriority w:val="99"/>
    <w:unhideWhenUsed w:val="1"/>
    <w:rsid w:val="0063445D"/>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63445D"/>
    <w:rPr>
      <w:rFonts w:ascii="Tahoma" w:hAnsi="Tahoma"/>
      <w:kern w:val="0"/>
      <w:sz w:val="22"/>
    </w:rPr>
  </w:style>
  <w:style w:type="paragraph" w:styleId="Piedepgina">
    <w:name w:val="footer"/>
    <w:basedOn w:val="Normal"/>
    <w:link w:val="PiedepginaCar"/>
    <w:uiPriority w:val="99"/>
    <w:unhideWhenUsed w:val="1"/>
    <w:rsid w:val="0063445D"/>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63445D"/>
    <w:rPr>
      <w:rFonts w:ascii="Tahoma" w:hAnsi="Tahoma"/>
      <w:kern w:val="0"/>
      <w:sz w:val="22"/>
    </w:rPr>
  </w:style>
  <w:style w:type="paragraph" w:styleId="Subtitle">
    <w:name w:val="Subtitle"/>
    <w:basedOn w:val="Normal"/>
    <w:next w:val="Normal"/>
    <w:pPr>
      <w:spacing w:after="160" w:lineRule="auto"/>
    </w:pPr>
    <w:rPr>
      <w:rFonts w:ascii="Aptos" w:cs="Aptos" w:eastAsia="Aptos" w:hAnsi="Aptos"/>
      <w:color w:val="595959"/>
      <w:sz w:val="28"/>
      <w:szCs w:val="2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Tahoma-regular.ttf"/><Relationship Id="rId4" Type="http://schemas.openxmlformats.org/officeDocument/2006/relationships/font" Target="fonts/Tahoma-bold.ttf"/><Relationship Id="rId5" Type="http://schemas.openxmlformats.org/officeDocument/2006/relationships/font" Target="fonts/CambriaMath-regular.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3FaMI3T64uXzAQpaMwfTO65D9A==">CgMxLjA4AHIhMXRDZGF1Vm1nQW1wT2JxVWFHU1k4dEJCSVVXdlo4Tnl2</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2024-09-02T18:02:00Z</dcterms:created>
  <dc:creator>Valeria Mundaca</dc:creator>
</cp:coreProperties>
</file>